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5FE7" w14:textId="77777777" w:rsidR="009D03A5" w:rsidRPr="009D03A5" w:rsidRDefault="009D03A5" w:rsidP="009D03A5">
      <w:pPr>
        <w:spacing w:after="0" w:line="240" w:lineRule="auto"/>
        <w:rPr>
          <w:rStyle w:val="Hyperlink"/>
          <w:b/>
          <w:bCs/>
        </w:rPr>
      </w:pPr>
      <w:r w:rsidRPr="009D03A5">
        <w:fldChar w:fldCharType="begin"/>
      </w:r>
      <w:r w:rsidRPr="009D03A5">
        <w:instrText>HYPERLINK "https://e-licitatie.ro:8881/"</w:instrText>
      </w:r>
      <w:r w:rsidRPr="009D03A5">
        <w:fldChar w:fldCharType="separate"/>
      </w:r>
    </w:p>
    <w:p w14:paraId="740CB908" w14:textId="77777777" w:rsidR="009D03A5" w:rsidRPr="009D03A5" w:rsidRDefault="009D03A5" w:rsidP="009D03A5">
      <w:pPr>
        <w:spacing w:after="0" w:line="240" w:lineRule="auto"/>
        <w:rPr>
          <w:rStyle w:val="Hyperlink"/>
          <w:b/>
          <w:bCs/>
          <w:sz w:val="32"/>
          <w:szCs w:val="32"/>
        </w:rPr>
      </w:pPr>
      <w:r w:rsidRPr="009D03A5">
        <w:rPr>
          <w:rStyle w:val="Hyperlink"/>
          <w:b/>
          <w:bCs/>
          <w:sz w:val="32"/>
          <w:szCs w:val="32"/>
        </w:rPr>
        <w:t>ANUNȚ DE PUBLICITATE - ACHIZIȚIE DIRECTĂ</w:t>
      </w:r>
    </w:p>
    <w:p w14:paraId="5750CDF1" w14:textId="77777777" w:rsidR="009D03A5" w:rsidRPr="009D03A5" w:rsidRDefault="009D03A5" w:rsidP="009D03A5">
      <w:pPr>
        <w:spacing w:after="0" w:line="240" w:lineRule="auto"/>
      </w:pPr>
      <w:r w:rsidRPr="009D03A5">
        <w:fldChar w:fldCharType="end"/>
      </w:r>
    </w:p>
    <w:p w14:paraId="6DAF0C14" w14:textId="0BF5D3C0" w:rsidR="009D03A5" w:rsidRPr="009D03A5" w:rsidRDefault="009D03A5" w:rsidP="009D03A5">
      <w:pPr>
        <w:spacing w:after="0" w:line="240" w:lineRule="auto"/>
      </w:pPr>
      <w:r w:rsidRPr="009D03A5">
        <w:rPr>
          <w:b/>
          <w:bCs/>
        </w:rPr>
        <w:t>Denumire contract:</w:t>
      </w:r>
      <w:r>
        <w:rPr>
          <w:b/>
          <w:bCs/>
        </w:rPr>
        <w:t xml:space="preserve"> </w:t>
      </w:r>
      <w:r w:rsidRPr="009D03A5">
        <w:t>Servicii de proiectare - faza DTAC, DTOE, PTH si DDE, doc avize, verificare tehnica si asistenta tehnica din partea proiectantului - PIDS, Cod SMIS 336523</w:t>
      </w:r>
    </w:p>
    <w:p w14:paraId="6F6F492F" w14:textId="77777777" w:rsidR="009D03A5" w:rsidRPr="009D03A5" w:rsidRDefault="009D03A5" w:rsidP="009D03A5">
      <w:pPr>
        <w:spacing w:after="0" w:line="240" w:lineRule="auto"/>
        <w:rPr>
          <w:b/>
          <w:bCs/>
        </w:rPr>
      </w:pPr>
      <w:r w:rsidRPr="009D03A5">
        <w:rPr>
          <w:b/>
          <w:bCs/>
        </w:rPr>
        <w:t>Data limita depunere oferta:</w:t>
      </w:r>
    </w:p>
    <w:p w14:paraId="1B577BE6" w14:textId="77777777" w:rsidR="009D03A5" w:rsidRPr="009D03A5" w:rsidRDefault="009D03A5" w:rsidP="009D03A5">
      <w:pPr>
        <w:spacing w:after="0" w:line="240" w:lineRule="auto"/>
      </w:pPr>
      <w:r w:rsidRPr="009D03A5">
        <w:t>16.03.2026 15:00</w:t>
      </w:r>
    </w:p>
    <w:tbl>
      <w:tblPr>
        <w:tblW w:w="0" w:type="auto"/>
        <w:tblCellMar>
          <w:top w:w="15" w:type="dxa"/>
          <w:left w:w="15" w:type="dxa"/>
          <w:bottom w:w="15" w:type="dxa"/>
          <w:right w:w="15" w:type="dxa"/>
        </w:tblCellMar>
        <w:tblLook w:val="04A0" w:firstRow="1" w:lastRow="0" w:firstColumn="1" w:lastColumn="0" w:noHBand="0" w:noVBand="1"/>
      </w:tblPr>
      <w:tblGrid>
        <w:gridCol w:w="1310"/>
        <w:gridCol w:w="1128"/>
        <w:gridCol w:w="1975"/>
        <w:gridCol w:w="1874"/>
        <w:gridCol w:w="231"/>
        <w:gridCol w:w="2508"/>
      </w:tblGrid>
      <w:tr w:rsidR="009D03A5" w:rsidRPr="009D03A5" w14:paraId="6E8870D8" w14:textId="77777777" w:rsidTr="009D03A5">
        <w:tc>
          <w:tcPr>
            <w:tcW w:w="0" w:type="auto"/>
            <w:tcMar>
              <w:top w:w="225" w:type="dxa"/>
              <w:left w:w="0" w:type="dxa"/>
              <w:bottom w:w="225" w:type="dxa"/>
              <w:right w:w="225" w:type="dxa"/>
            </w:tcMar>
            <w:hideMark/>
          </w:tcPr>
          <w:p w14:paraId="0638E8B8" w14:textId="77777777" w:rsidR="009D03A5" w:rsidRPr="009D03A5" w:rsidRDefault="009D03A5" w:rsidP="009D03A5">
            <w:pPr>
              <w:spacing w:after="0" w:line="240" w:lineRule="auto"/>
            </w:pPr>
            <w:r w:rsidRPr="009D03A5">
              <w:t>Tip anunt:</w:t>
            </w:r>
          </w:p>
          <w:p w14:paraId="50449D3B" w14:textId="77777777" w:rsidR="009D03A5" w:rsidRPr="009D03A5" w:rsidRDefault="009D03A5" w:rsidP="009D03A5">
            <w:pPr>
              <w:spacing w:after="0" w:line="240" w:lineRule="auto"/>
            </w:pPr>
            <w:r w:rsidRPr="009D03A5">
              <w:t>Cumparari directe</w:t>
            </w:r>
          </w:p>
        </w:tc>
        <w:tc>
          <w:tcPr>
            <w:tcW w:w="0" w:type="auto"/>
            <w:tcMar>
              <w:top w:w="225" w:type="dxa"/>
              <w:left w:w="0" w:type="dxa"/>
              <w:bottom w:w="225" w:type="dxa"/>
              <w:right w:w="225" w:type="dxa"/>
            </w:tcMar>
            <w:hideMark/>
          </w:tcPr>
          <w:p w14:paraId="7350B7B9" w14:textId="77777777" w:rsidR="009D03A5" w:rsidRPr="009D03A5" w:rsidRDefault="009D03A5" w:rsidP="009D03A5">
            <w:pPr>
              <w:spacing w:after="0" w:line="240" w:lineRule="auto"/>
            </w:pPr>
            <w:r w:rsidRPr="009D03A5">
              <w:t>Tip contract:</w:t>
            </w:r>
          </w:p>
          <w:p w14:paraId="7AA5257F" w14:textId="77777777" w:rsidR="009D03A5" w:rsidRPr="009D03A5" w:rsidRDefault="009D03A5" w:rsidP="009D03A5">
            <w:pPr>
              <w:spacing w:after="0" w:line="240" w:lineRule="auto"/>
            </w:pPr>
            <w:r w:rsidRPr="009D03A5">
              <w:t>Servicii</w:t>
            </w:r>
          </w:p>
        </w:tc>
        <w:tc>
          <w:tcPr>
            <w:tcW w:w="0" w:type="auto"/>
            <w:tcMar>
              <w:top w:w="225" w:type="dxa"/>
              <w:left w:w="0" w:type="dxa"/>
              <w:bottom w:w="225" w:type="dxa"/>
              <w:right w:w="225" w:type="dxa"/>
            </w:tcMar>
            <w:hideMark/>
          </w:tcPr>
          <w:p w14:paraId="2C9C6B8E" w14:textId="77777777" w:rsidR="009D03A5" w:rsidRPr="009D03A5" w:rsidRDefault="009D03A5" w:rsidP="009D03A5">
            <w:pPr>
              <w:spacing w:after="0" w:line="240" w:lineRule="auto"/>
            </w:pPr>
            <w:r w:rsidRPr="009D03A5">
              <w:t>Cod si denumire CPV:</w:t>
            </w:r>
          </w:p>
          <w:p w14:paraId="07D6E827" w14:textId="77777777" w:rsidR="009D03A5" w:rsidRPr="009D03A5" w:rsidRDefault="009D03A5" w:rsidP="009D03A5">
            <w:pPr>
              <w:spacing w:after="0" w:line="240" w:lineRule="auto"/>
            </w:pPr>
            <w:r w:rsidRPr="009D03A5">
              <w:t>71322000-1 - Servicii de proiectare tehnica pentru constructia de lucrari publice (Rev.2)</w:t>
            </w:r>
          </w:p>
        </w:tc>
        <w:tc>
          <w:tcPr>
            <w:tcW w:w="0" w:type="auto"/>
            <w:tcMar>
              <w:top w:w="225" w:type="dxa"/>
              <w:left w:w="0" w:type="dxa"/>
              <w:bottom w:w="225" w:type="dxa"/>
              <w:right w:w="225" w:type="dxa"/>
            </w:tcMar>
            <w:hideMark/>
          </w:tcPr>
          <w:p w14:paraId="5A94D12B" w14:textId="77777777" w:rsidR="009D03A5" w:rsidRPr="009D03A5" w:rsidRDefault="009D03A5" w:rsidP="009D03A5">
            <w:pPr>
              <w:spacing w:after="0" w:line="240" w:lineRule="auto"/>
            </w:pPr>
            <w:r w:rsidRPr="009D03A5">
              <w:t>Valoare estimata:</w:t>
            </w:r>
          </w:p>
          <w:p w14:paraId="1A2956E2" w14:textId="77777777" w:rsidR="009D03A5" w:rsidRPr="009D03A5" w:rsidRDefault="009D03A5" w:rsidP="009D03A5">
            <w:pPr>
              <w:spacing w:after="0" w:line="240" w:lineRule="auto"/>
            </w:pPr>
            <w:r w:rsidRPr="009D03A5">
              <w:t>185.215,25  RON</w:t>
            </w:r>
          </w:p>
        </w:tc>
        <w:tc>
          <w:tcPr>
            <w:tcW w:w="0" w:type="auto"/>
            <w:tcMar>
              <w:top w:w="225" w:type="dxa"/>
              <w:left w:w="0" w:type="dxa"/>
              <w:bottom w:w="225" w:type="dxa"/>
              <w:right w:w="225" w:type="dxa"/>
            </w:tcMar>
            <w:hideMark/>
          </w:tcPr>
          <w:p w14:paraId="3EF6E408" w14:textId="77777777" w:rsidR="009D03A5" w:rsidRPr="009D03A5" w:rsidRDefault="009D03A5" w:rsidP="009D03A5">
            <w:pPr>
              <w:spacing w:after="0" w:line="240" w:lineRule="auto"/>
            </w:pPr>
          </w:p>
        </w:tc>
        <w:tc>
          <w:tcPr>
            <w:tcW w:w="0" w:type="auto"/>
            <w:tcMar>
              <w:top w:w="225" w:type="dxa"/>
              <w:left w:w="0" w:type="dxa"/>
              <w:bottom w:w="225" w:type="dxa"/>
              <w:right w:w="225" w:type="dxa"/>
            </w:tcMar>
            <w:hideMark/>
          </w:tcPr>
          <w:p w14:paraId="2096EF22" w14:textId="77777777" w:rsidR="009D03A5" w:rsidRPr="009D03A5" w:rsidRDefault="009D03A5" w:rsidP="009D03A5">
            <w:pPr>
              <w:spacing w:after="0" w:line="240" w:lineRule="auto"/>
            </w:pPr>
            <w:r w:rsidRPr="009D03A5">
              <w:t>Caiet de sarcini:</w:t>
            </w:r>
          </w:p>
          <w:p w14:paraId="5960B83A" w14:textId="77777777" w:rsidR="009D03A5" w:rsidRPr="009D03A5" w:rsidRDefault="009D03A5" w:rsidP="009D03A5">
            <w:pPr>
              <w:spacing w:after="0" w:line="240" w:lineRule="auto"/>
            </w:pPr>
            <w:r w:rsidRPr="009D03A5">
              <w:rPr>
                <w:b/>
                <w:bCs/>
              </w:rPr>
              <w:t>DocumentatieSEAP.pdf</w:t>
            </w:r>
          </w:p>
        </w:tc>
      </w:tr>
    </w:tbl>
    <w:p w14:paraId="035DFE44" w14:textId="77777777" w:rsidR="009D03A5" w:rsidRPr="009D03A5" w:rsidRDefault="009D03A5" w:rsidP="009D03A5">
      <w:pPr>
        <w:spacing w:after="0" w:line="240" w:lineRule="auto"/>
        <w:rPr>
          <w:b/>
          <w:bCs/>
        </w:rPr>
      </w:pPr>
      <w:r w:rsidRPr="009D03A5">
        <w:rPr>
          <w:b/>
          <w:bCs/>
        </w:rPr>
        <w:t>Descriere contract:</w:t>
      </w:r>
    </w:p>
    <w:p w14:paraId="47F02A7A" w14:textId="77777777" w:rsidR="009D03A5" w:rsidRPr="009D03A5" w:rsidRDefault="009D03A5" w:rsidP="009D03A5">
      <w:pPr>
        <w:spacing w:after="0" w:line="240" w:lineRule="auto"/>
      </w:pPr>
      <w:r w:rsidRPr="009D03A5">
        <w:t>Servicii de proiectare constând în elaborarea documentațiilor tehnico-economice pentru realizarea obiectivului de investiții „Construire centru de zi specializat pentru copii cu tulburări comportamentale «Sf. Nicolae»”, cod SMIS 336523. Serviciile solicitate includ elaborarea documentației tehnice pentru autorizarea executării lucrărilor de construire (DTAC), elaborarea documentației tehnice pentru organizarea execuției lucrărilor (DTOE), elaborarea proiectului tehnic de execuție (PTh) și a detaliilor de execuție (DE), precum și întocmirea documentațiilor necesare obținerii avizelor și acordurilor prevăzute prin certificatul de urbanism. De asemenea, contractul include verificarea tehnică de calitate a proiectului, conform cerințelor legislației în vigoare, precum și asistența tehnică din partea proiectantului pe perioada procedurii de achizitie si a execuției lucrărilor. Documentațiile vor fi elaborate cu respectarea prevederilor legislației aplicabile în domeniul construcțiilor și al proiectării, inclusiv Legea nr. 50/1991 privind autorizarea executării lucrărilor de construcții, Legea nr. 10/1995 privind calitatea în construcții și HG nr. 907/2016 privind etapele de elaborare și conținutul-cadru al documentațiilor tehnico-economice. Proiectarea va respecta cerințele privind performanța energetică a clădirilor (standard nZEB), precum și principiul „Do No Significant Harm” (DNSH). Documentațiile vor avea la bază indicatorii tehnico-economici aprobați, certificatul de urbanism și studiile existente. Documentațiile vor avea la bază solutia Studiului de fezabilitate aprobat, certificatul de urbanism și studiile existente (studiu geotehnic, studiu topografic și alte documentații tehnice disponibile).</w:t>
      </w:r>
    </w:p>
    <w:p w14:paraId="639A77DD" w14:textId="77777777" w:rsidR="009D03A5" w:rsidRPr="009D03A5" w:rsidRDefault="009D03A5" w:rsidP="009D03A5">
      <w:pPr>
        <w:spacing w:after="0" w:line="240" w:lineRule="auto"/>
      </w:pPr>
      <w:r w:rsidRPr="009D03A5">
        <w:t>Conditii referitoare la contract:</w:t>
      </w:r>
    </w:p>
    <w:p w14:paraId="37F5488E" w14:textId="77777777" w:rsidR="009D03A5" w:rsidRPr="009D03A5" w:rsidRDefault="009D03A5" w:rsidP="009D03A5">
      <w:pPr>
        <w:spacing w:after="0" w:line="240" w:lineRule="auto"/>
      </w:pPr>
      <w:r w:rsidRPr="009D03A5">
        <w:t xml:space="preserve">Contractul de servicii va fi încheiat cu ofertantul declarat câștigător, în baza criteriului de atribuire stabilit în documentația de atribuire. Durata contractului include perioada de elaborare a documentațiilor tehnico-economice (etapizat, conform documentatiei de atribuire) și perioada de asistență tehnică din partea proiectantului pe durata execuției lucrărilor (estimativ 22 luni). Plata serviciilor se va realiza în baza documentațiilor predate și acceptate de autoritatea contractantă, conform etapelor prevăzute în contract. Prestatorul are obligația de a elabora documentațiile tehnico-economice în conformitate cu legislația în vigoare și cu cerințele prevăzute în caietul de sarcini. Documentațiile vor fi verificate de </w:t>
      </w:r>
      <w:r w:rsidRPr="009D03A5">
        <w:lastRenderedPageBreak/>
        <w:t>verificatori tehnici atestați, conform Legii nr. 10/1995 privind calitatea în construcții. Prestatorul va asigura asistență tehnică din partea proiectantului pe perioada execuției lucrărilor, conform prevederilor legale aplicabile. Contractul se va derula cu respectarea principiilor privind protecția mediului, eficiența energetică (standard nZEB) și principiul DNSH.</w:t>
      </w:r>
    </w:p>
    <w:p w14:paraId="57ED3F4F" w14:textId="77777777" w:rsidR="009D03A5" w:rsidRPr="009D03A5" w:rsidRDefault="009D03A5" w:rsidP="009D03A5">
      <w:pPr>
        <w:spacing w:after="0" w:line="240" w:lineRule="auto"/>
        <w:rPr>
          <w:b/>
          <w:bCs/>
        </w:rPr>
      </w:pPr>
      <w:r w:rsidRPr="009D03A5">
        <w:rPr>
          <w:b/>
          <w:bCs/>
        </w:rPr>
        <w:t>Conditii de participare:</w:t>
      </w:r>
    </w:p>
    <w:p w14:paraId="43A29DBB" w14:textId="77777777" w:rsidR="009D03A5" w:rsidRPr="009D03A5" w:rsidRDefault="009D03A5" w:rsidP="009D03A5">
      <w:pPr>
        <w:spacing w:after="0" w:line="240" w:lineRule="auto"/>
      </w:pPr>
      <w:r w:rsidRPr="009D03A5">
        <w:t>Conform documentatiei atasate:. A. Situatia personala a candidatului : 1. Ofertantii, asociati, tertii sustinatori si subcontractantii nu trebuie sa se regaseasca in situatiile prevazute la art.60, 164, 165, 167 din Legea nr.98/2016. 2. Declaratia privind beneficiarul real al investitiei 3. Certificatul constatator emis de O.N.R.C. 4. Alte documente edificatoare, dupa caz. B. Propunerea tehnica se va intocmi astfel incat sa corespunda cerintelor solicitate in caietul de sarcini. Personalul minim solicitat pentru executarea contractului: arhitect, inginer proiectant constructii civile, inginer proiectant pentru toate tipurile de instalatii (conform caietului de sarcini). De asemenea se va prezenta o declaratie din care sa rezulte ca ofertantul respecta obligatiile referitoare la conditiile de munca si mediu. C. Propunerea financiara va cuprinde toate cheltuielile ofertantului legate de realizarea contractului. Pretul ofertei este considerat ferm si nu poate fi modificat sau ajustat pe toata perioada de derulare a contractului. Pretul va fi exprimat in LEI fara TVA. Persoanele care detin functii de decizie in cadrul autoritatii contractante: Albut Alexandra, Popa Ciprian, Avornicitei Irina, Ene Mihai Daniel, Radu Carmen Luiza, Tomozei Beatrice Gianina, Capata Loredana, Palea Cristian, Batinas Daniela. În cazul asocierilor, cerințele privind motivele de excludere se aplică fiecărui membru al asocierii.</w:t>
      </w:r>
    </w:p>
    <w:p w14:paraId="5089D537" w14:textId="77777777" w:rsidR="009D03A5" w:rsidRPr="009D03A5" w:rsidRDefault="009D03A5" w:rsidP="009D03A5">
      <w:pPr>
        <w:spacing w:after="0" w:line="240" w:lineRule="auto"/>
        <w:rPr>
          <w:b/>
          <w:bCs/>
        </w:rPr>
      </w:pPr>
      <w:r w:rsidRPr="009D03A5">
        <w:rPr>
          <w:b/>
          <w:bCs/>
        </w:rPr>
        <w:t>Criterii de atribuire:</w:t>
      </w:r>
    </w:p>
    <w:p w14:paraId="52C5875B" w14:textId="77777777" w:rsidR="009D03A5" w:rsidRPr="009D03A5" w:rsidRDefault="009D03A5" w:rsidP="009D03A5">
      <w:pPr>
        <w:spacing w:after="0" w:line="240" w:lineRule="auto"/>
      </w:pPr>
      <w:r w:rsidRPr="009D03A5">
        <w:t>Criteriul de atribuire este " cel mai bun raport calitate-pret", in baza art.187, alin.(3), lit. a) din Legea nr.98/2018. In cazul in care doua sau mai multe oferte se claseaza pe primul loc, cu acelasi punctaj, va fi desemnata castigatoare oferta cu punctajul cel mai mare la componenta financiara. Daca acestea nu pot fi departajate, se va solicita in scris, numai acelor ofertanti aflati la egalitate, pentru departajare, sa depuna o noua propunere financiara intr-un termen de maxim 2 zile lucratoare. Dupa reofertarea pretului, va fi declarat castigator ofertantul care are punctajul cel mai mare in urma aplicarii criteriului de atribuire. Punctajul se acordă conform metodologiei de evaluare prevăzute în documentația de atribuire.</w:t>
      </w:r>
    </w:p>
    <w:p w14:paraId="7EE688DE" w14:textId="77777777" w:rsidR="009D03A5" w:rsidRPr="009D03A5" w:rsidRDefault="009D03A5" w:rsidP="009D03A5">
      <w:pPr>
        <w:spacing w:after="0" w:line="240" w:lineRule="auto"/>
        <w:rPr>
          <w:b/>
          <w:bCs/>
        </w:rPr>
      </w:pPr>
      <w:r w:rsidRPr="009D03A5">
        <w:rPr>
          <w:b/>
          <w:bCs/>
        </w:rPr>
        <w:t>Informatii suplimentare:</w:t>
      </w:r>
    </w:p>
    <w:p w14:paraId="6D1DB28B" w14:textId="77777777" w:rsidR="009D03A5" w:rsidRPr="009D03A5" w:rsidRDefault="009D03A5" w:rsidP="009D03A5">
      <w:pPr>
        <w:spacing w:after="0" w:line="240" w:lineRule="auto"/>
      </w:pPr>
      <w:r w:rsidRPr="009D03A5">
        <w:t>DOCUMENTATIA DE ATRIBUIRE COMPLETA SE REGASESTE PE SITE-UL INSTITUTIEI, LA SECTIUNEA ACHIZITII: https://www.dgaspcbacau.ro/categorie/achizitii/. Adresa la care se transmit ofertele: prin e-mail la adresa achizitii@dgaspcbacau.ro. Oferta va cuprinde toate documentele solicitate in documentatia atasata. Autoritatea contractanta intentioneaza sa efectueze achizitia, cu ofertantul a carui oferta a obtinut cel mai mare punctaj si a indeplinit toate conditiile din prezentul anunt. Autoritatea contractanta are deplina libertate in a selecta oferta castigatoare, fara a fi obligat sa anunte acest lucru ofertantilor participant.Operatorii economici interesați pot solicita clarificări privind documentația de atribuire în termenul prevăzut în Invitatie. Autoritatea contractantă își rezervă dreptul de a solicita clarificări ofertanților în vederea evaluării ofertelor depuse.</w:t>
      </w:r>
    </w:p>
    <w:p w14:paraId="6EC0096F" w14:textId="77777777" w:rsidR="009D03A5" w:rsidRDefault="009D03A5" w:rsidP="009D03A5">
      <w:pPr>
        <w:spacing w:after="0" w:line="240" w:lineRule="auto"/>
      </w:pPr>
    </w:p>
    <w:p w14:paraId="63B73419" w14:textId="7D94F27B" w:rsidR="009D03A5" w:rsidRPr="009D03A5" w:rsidRDefault="009D03A5" w:rsidP="009D03A5">
      <w:pPr>
        <w:spacing w:after="0" w:line="240" w:lineRule="auto"/>
        <w:rPr>
          <w:i/>
          <w:iCs/>
        </w:rPr>
      </w:pPr>
      <w:r w:rsidRPr="009D03A5">
        <w:rPr>
          <w:i/>
          <w:iCs/>
        </w:rPr>
        <w:t>Anunt publicat in SEAP/SICAP conform Legii nr. 98/2016 privind achizitiile publice:</w:t>
      </w:r>
      <w:r>
        <w:rPr>
          <w:i/>
          <w:iCs/>
        </w:rPr>
        <w:t xml:space="preserve"> </w:t>
      </w:r>
      <w:r w:rsidRPr="009D03A5">
        <w:rPr>
          <w:i/>
          <w:iCs/>
        </w:rPr>
        <w:t>ADV1519189</w:t>
      </w:r>
    </w:p>
    <w:p w14:paraId="6F929AFB" w14:textId="77777777" w:rsidR="009D03A5" w:rsidRDefault="009D03A5" w:rsidP="009D03A5">
      <w:pPr>
        <w:spacing w:after="0" w:line="240" w:lineRule="auto"/>
      </w:pPr>
    </w:p>
    <w:sectPr w:rsidR="009D0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A5"/>
    <w:rsid w:val="007B04F9"/>
    <w:rsid w:val="009D03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892C"/>
  <w15:chartTrackingRefBased/>
  <w15:docId w15:val="{47225845-3454-4B49-8B83-5AE47102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3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3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3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3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3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3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3A5"/>
    <w:rPr>
      <w:rFonts w:eastAsiaTheme="majorEastAsia" w:cstheme="majorBidi"/>
      <w:color w:val="272727" w:themeColor="text1" w:themeTint="D8"/>
    </w:rPr>
  </w:style>
  <w:style w:type="paragraph" w:styleId="Title">
    <w:name w:val="Title"/>
    <w:basedOn w:val="Normal"/>
    <w:next w:val="Normal"/>
    <w:link w:val="TitleChar"/>
    <w:uiPriority w:val="10"/>
    <w:qFormat/>
    <w:rsid w:val="009D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3A5"/>
    <w:pPr>
      <w:spacing w:before="160"/>
      <w:jc w:val="center"/>
    </w:pPr>
    <w:rPr>
      <w:i/>
      <w:iCs/>
      <w:color w:val="404040" w:themeColor="text1" w:themeTint="BF"/>
    </w:rPr>
  </w:style>
  <w:style w:type="character" w:customStyle="1" w:styleId="QuoteChar">
    <w:name w:val="Quote Char"/>
    <w:basedOn w:val="DefaultParagraphFont"/>
    <w:link w:val="Quote"/>
    <w:uiPriority w:val="29"/>
    <w:rsid w:val="009D03A5"/>
    <w:rPr>
      <w:i/>
      <w:iCs/>
      <w:color w:val="404040" w:themeColor="text1" w:themeTint="BF"/>
    </w:rPr>
  </w:style>
  <w:style w:type="paragraph" w:styleId="ListParagraph">
    <w:name w:val="List Paragraph"/>
    <w:basedOn w:val="Normal"/>
    <w:uiPriority w:val="34"/>
    <w:qFormat/>
    <w:rsid w:val="009D03A5"/>
    <w:pPr>
      <w:ind w:left="720"/>
      <w:contextualSpacing/>
    </w:pPr>
  </w:style>
  <w:style w:type="character" w:styleId="IntenseEmphasis">
    <w:name w:val="Intense Emphasis"/>
    <w:basedOn w:val="DefaultParagraphFont"/>
    <w:uiPriority w:val="21"/>
    <w:qFormat/>
    <w:rsid w:val="009D03A5"/>
    <w:rPr>
      <w:i/>
      <w:iCs/>
      <w:color w:val="2F5496" w:themeColor="accent1" w:themeShade="BF"/>
    </w:rPr>
  </w:style>
  <w:style w:type="paragraph" w:styleId="IntenseQuote">
    <w:name w:val="Intense Quote"/>
    <w:basedOn w:val="Normal"/>
    <w:next w:val="Normal"/>
    <w:link w:val="IntenseQuoteChar"/>
    <w:uiPriority w:val="30"/>
    <w:qFormat/>
    <w:rsid w:val="009D0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3A5"/>
    <w:rPr>
      <w:i/>
      <w:iCs/>
      <w:color w:val="2F5496" w:themeColor="accent1" w:themeShade="BF"/>
    </w:rPr>
  </w:style>
  <w:style w:type="character" w:styleId="IntenseReference">
    <w:name w:val="Intense Reference"/>
    <w:basedOn w:val="DefaultParagraphFont"/>
    <w:uiPriority w:val="32"/>
    <w:qFormat/>
    <w:rsid w:val="009D03A5"/>
    <w:rPr>
      <w:b/>
      <w:bCs/>
      <w:smallCaps/>
      <w:color w:val="2F5496" w:themeColor="accent1" w:themeShade="BF"/>
      <w:spacing w:val="5"/>
    </w:rPr>
  </w:style>
  <w:style w:type="character" w:styleId="Hyperlink">
    <w:name w:val="Hyperlink"/>
    <w:basedOn w:val="DefaultParagraphFont"/>
    <w:uiPriority w:val="99"/>
    <w:unhideWhenUsed/>
    <w:rsid w:val="009D03A5"/>
    <w:rPr>
      <w:color w:val="0563C1" w:themeColor="hyperlink"/>
      <w:u w:val="single"/>
    </w:rPr>
  </w:style>
  <w:style w:type="character" w:styleId="UnresolvedMention">
    <w:name w:val="Unresolved Mention"/>
    <w:basedOn w:val="DefaultParagraphFont"/>
    <w:uiPriority w:val="99"/>
    <w:semiHidden/>
    <w:unhideWhenUsed/>
    <w:rsid w:val="009D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5660</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Capata</dc:creator>
  <cp:keywords/>
  <dc:description/>
  <cp:lastModifiedBy>Loredana Capata</cp:lastModifiedBy>
  <cp:revision>1</cp:revision>
  <dcterms:created xsi:type="dcterms:W3CDTF">2026-03-05T15:11:00Z</dcterms:created>
  <dcterms:modified xsi:type="dcterms:W3CDTF">2026-03-05T15:13:00Z</dcterms:modified>
</cp:coreProperties>
</file>